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6C1" w:rsidRDefault="009656C1"/>
    <w:p w:rsidR="009656C1" w:rsidRDefault="009656C1"/>
    <w:tbl>
      <w:tblPr>
        <w:tblStyle w:val="Tabel-Gitter"/>
        <w:tblW w:w="9209" w:type="dxa"/>
        <w:tblLook w:val="04A0" w:firstRow="1" w:lastRow="0" w:firstColumn="1" w:lastColumn="0" w:noHBand="0" w:noVBand="1"/>
      </w:tblPr>
      <w:tblGrid>
        <w:gridCol w:w="3964"/>
        <w:gridCol w:w="5245"/>
      </w:tblGrid>
      <w:tr w:rsidR="00163EBA" w:rsidTr="007F7484">
        <w:tc>
          <w:tcPr>
            <w:tcW w:w="3964" w:type="dxa"/>
          </w:tcPr>
          <w:p w:rsidR="00163EBA" w:rsidRPr="00817247" w:rsidRDefault="00163EBA" w:rsidP="00163EBA">
            <w:pPr>
              <w:rPr>
                <w:rFonts w:asciiTheme="majorHAnsi" w:hAnsiTheme="majorHAnsi" w:cstheme="majorHAnsi"/>
                <w:szCs w:val="20"/>
              </w:rPr>
            </w:pPr>
            <w:r>
              <w:rPr>
                <w:rFonts w:asciiTheme="majorHAnsi" w:hAnsiTheme="majorHAnsi" w:cstheme="majorHAnsi"/>
                <w:b/>
                <w:szCs w:val="20"/>
              </w:rPr>
              <w:t>Leverancetitel</w:t>
            </w:r>
          </w:p>
        </w:tc>
        <w:tc>
          <w:tcPr>
            <w:tcW w:w="5245" w:type="dxa"/>
          </w:tcPr>
          <w:p w:rsidR="00163EBA" w:rsidRPr="00085A50" w:rsidRDefault="00163EBA" w:rsidP="00163EBA">
            <w:pPr>
              <w:rPr>
                <w:rFonts w:cs="Arial"/>
                <w:color w:val="FF0000"/>
              </w:rPr>
            </w:pPr>
            <w:bookmarkStart w:id="0" w:name="_GoBack"/>
            <w:r w:rsidRPr="00085A50">
              <w:rPr>
                <w:rFonts w:cs="Arial"/>
              </w:rPr>
              <w:t>Redegørelse for relevante GDPR-problematikker i forbindelse med udlevering af forsyningsdata</w:t>
            </w:r>
            <w:bookmarkEnd w:id="0"/>
          </w:p>
        </w:tc>
      </w:tr>
      <w:tr w:rsidR="00163EBA" w:rsidTr="007F7484">
        <w:tc>
          <w:tcPr>
            <w:tcW w:w="3964" w:type="dxa"/>
          </w:tcPr>
          <w:p w:rsidR="00163EBA" w:rsidRPr="00535D99" w:rsidRDefault="00163EBA" w:rsidP="00163EBA">
            <w:pPr>
              <w:rPr>
                <w:b/>
              </w:rPr>
            </w:pPr>
            <w:r>
              <w:rPr>
                <w:b/>
              </w:rPr>
              <w:t xml:space="preserve">Leverancenummer </w:t>
            </w:r>
          </w:p>
        </w:tc>
        <w:tc>
          <w:tcPr>
            <w:tcW w:w="5245" w:type="dxa"/>
          </w:tcPr>
          <w:p w:rsidR="00163EBA" w:rsidRPr="00817247" w:rsidRDefault="00163EBA" w:rsidP="00163EBA">
            <w:r>
              <w:t>9</w:t>
            </w:r>
          </w:p>
        </w:tc>
      </w:tr>
      <w:tr w:rsidR="00163EBA" w:rsidTr="007F7484">
        <w:tc>
          <w:tcPr>
            <w:tcW w:w="3964" w:type="dxa"/>
          </w:tcPr>
          <w:p w:rsidR="00163EBA" w:rsidRPr="00535D99" w:rsidRDefault="00163EBA" w:rsidP="00163EBA">
            <w:pPr>
              <w:rPr>
                <w:b/>
              </w:rPr>
            </w:pPr>
            <w:r w:rsidRPr="00535D99">
              <w:rPr>
                <w:b/>
              </w:rPr>
              <w:t>Tovholder (ansvarlig aktør)</w:t>
            </w:r>
          </w:p>
        </w:tc>
        <w:tc>
          <w:tcPr>
            <w:tcW w:w="5245" w:type="dxa"/>
          </w:tcPr>
          <w:p w:rsidR="00163EBA" w:rsidRPr="00817247" w:rsidRDefault="00163EBA" w:rsidP="00163EBA">
            <w:r>
              <w:t>ENS/KDS</w:t>
            </w:r>
          </w:p>
        </w:tc>
      </w:tr>
      <w:tr w:rsidR="00163EBA" w:rsidTr="007F7484">
        <w:tc>
          <w:tcPr>
            <w:tcW w:w="3964" w:type="dxa"/>
          </w:tcPr>
          <w:p w:rsidR="00163EBA" w:rsidRPr="00535D99" w:rsidRDefault="00163EBA" w:rsidP="00163EBA">
            <w:pPr>
              <w:rPr>
                <w:b/>
              </w:rPr>
            </w:pPr>
            <w:r>
              <w:rPr>
                <w:b/>
              </w:rPr>
              <w:t>Ansvarligt arbejdsspor</w:t>
            </w:r>
          </w:p>
        </w:tc>
        <w:tc>
          <w:tcPr>
            <w:tcW w:w="5245" w:type="dxa"/>
          </w:tcPr>
          <w:p w:rsidR="00163EBA" w:rsidRDefault="00163EBA" w:rsidP="00163EBA">
            <w:r w:rsidRPr="00085A50">
              <w:rPr>
                <w:rFonts w:cs="Arial"/>
              </w:rPr>
              <w:t>Arbejdsspor vedr. sikker dataudveksling og anvendelse</w:t>
            </w:r>
          </w:p>
        </w:tc>
      </w:tr>
      <w:tr w:rsidR="00163EBA" w:rsidTr="007F7484">
        <w:tc>
          <w:tcPr>
            <w:tcW w:w="3964" w:type="dxa"/>
          </w:tcPr>
          <w:p w:rsidR="00163EBA" w:rsidRPr="00535D99" w:rsidRDefault="00163EBA" w:rsidP="00163EBA">
            <w:pPr>
              <w:rPr>
                <w:b/>
              </w:rPr>
            </w:pPr>
            <w:r>
              <w:rPr>
                <w:b/>
              </w:rPr>
              <w:t>FFD-målsætning(er)</w:t>
            </w:r>
          </w:p>
        </w:tc>
        <w:tc>
          <w:tcPr>
            <w:tcW w:w="5245" w:type="dxa"/>
          </w:tcPr>
          <w:p w:rsidR="00163EBA" w:rsidRDefault="00163EBA" w:rsidP="00163EBA">
            <w:r>
              <w:t>3</w:t>
            </w:r>
          </w:p>
        </w:tc>
      </w:tr>
      <w:tr w:rsidR="00163EBA" w:rsidTr="007F7484">
        <w:tc>
          <w:tcPr>
            <w:tcW w:w="3964" w:type="dxa"/>
          </w:tcPr>
          <w:p w:rsidR="00163EBA" w:rsidRDefault="00163EBA" w:rsidP="00163EBA">
            <w:pPr>
              <w:rPr>
                <w:b/>
              </w:rPr>
            </w:pPr>
            <w:r>
              <w:rPr>
                <w:b/>
              </w:rPr>
              <w:t>Afsluttes</w:t>
            </w:r>
          </w:p>
        </w:tc>
        <w:tc>
          <w:tcPr>
            <w:tcW w:w="5245" w:type="dxa"/>
          </w:tcPr>
          <w:p w:rsidR="00163EBA" w:rsidRPr="00163EBA" w:rsidRDefault="00163EBA" w:rsidP="00163EBA">
            <w:r w:rsidRPr="00163EBA">
              <w:t>Q2 2025</w:t>
            </w:r>
          </w:p>
        </w:tc>
      </w:tr>
      <w:tr w:rsidR="00163EBA" w:rsidTr="007F7484">
        <w:tc>
          <w:tcPr>
            <w:tcW w:w="3964" w:type="dxa"/>
          </w:tcPr>
          <w:p w:rsidR="00163EBA" w:rsidRDefault="00163EBA" w:rsidP="00163EBA">
            <w:pPr>
              <w:rPr>
                <w:b/>
              </w:rPr>
            </w:pPr>
            <w:r>
              <w:rPr>
                <w:b/>
              </w:rPr>
              <w:t>Godkender</w:t>
            </w:r>
          </w:p>
        </w:tc>
        <w:tc>
          <w:tcPr>
            <w:tcW w:w="5245" w:type="dxa"/>
          </w:tcPr>
          <w:p w:rsidR="00163EBA" w:rsidRPr="00163EBA" w:rsidRDefault="00163EBA" w:rsidP="00163EBA">
            <w:r w:rsidRPr="00163EBA">
              <w:t xml:space="preserve">FFD </w:t>
            </w:r>
          </w:p>
        </w:tc>
      </w:tr>
    </w:tbl>
    <w:p w:rsidR="005901BB" w:rsidRDefault="005901BB" w:rsidP="005901BB"/>
    <w:p w:rsidR="00773FA9" w:rsidRDefault="00773FA9" w:rsidP="00BE7454">
      <w:pPr>
        <w:pStyle w:val="Overskrift4"/>
      </w:pPr>
      <w:r>
        <w:t xml:space="preserve">Beskrivelse </w:t>
      </w:r>
    </w:p>
    <w:p w:rsidR="00163EBA" w:rsidRPr="00163EBA" w:rsidRDefault="00163EBA" w:rsidP="00163EBA">
      <w:pPr>
        <w:rPr>
          <w:rFonts w:cs="Arial"/>
          <w:szCs w:val="20"/>
        </w:rPr>
      </w:pPr>
      <w:r w:rsidRPr="00163EBA">
        <w:rPr>
          <w:rFonts w:cs="Arial"/>
          <w:szCs w:val="20"/>
        </w:rPr>
        <w:t>Der er behov for en klarhed og ensartethed vedrørende GDPR-håndtering på tværs af forsyningssektoren. Leverancen skal lede til en fælles fortolkning, der giver mulighed for at dele data, beskytter personoplysninger/følsomme data og muliggør behovet for udstilling af data og rapportering.</w:t>
      </w:r>
      <w:r w:rsidRPr="00163EBA">
        <w:rPr>
          <w:rFonts w:cs="Arial"/>
          <w:szCs w:val="20"/>
        </w:rPr>
        <w:br/>
      </w:r>
    </w:p>
    <w:p w:rsidR="00163EBA" w:rsidRPr="00163EBA" w:rsidRDefault="00163EBA" w:rsidP="00163EBA">
      <w:pPr>
        <w:rPr>
          <w:rFonts w:cs="Arial"/>
          <w:szCs w:val="20"/>
        </w:rPr>
      </w:pPr>
      <w:r w:rsidRPr="00163EBA">
        <w:rPr>
          <w:rFonts w:cs="Arial"/>
          <w:szCs w:val="20"/>
        </w:rPr>
        <w:t xml:space="preserve">Det indledende </w:t>
      </w:r>
      <w:proofErr w:type="spellStart"/>
      <w:r w:rsidRPr="00163EBA">
        <w:rPr>
          <w:rFonts w:cs="Arial"/>
          <w:szCs w:val="20"/>
        </w:rPr>
        <w:t>scope</w:t>
      </w:r>
      <w:proofErr w:type="spellEnd"/>
      <w:r w:rsidRPr="00163EBA">
        <w:rPr>
          <w:rFonts w:cs="Arial"/>
          <w:szCs w:val="20"/>
        </w:rPr>
        <w:t xml:space="preserve"> af leverancen er udarbejdelse af en redegørelse, der identificerer relevante GDPR-problematikker i forbindelse med udlevering af forsyningsdata. Redegørelsen vil fokusere på centrale udfordringer omkring datadeling og beskyttelse af personoplysninger og følsomme data, samtidig med at den støtter behovet for udstilling og rapportering af data. Denne leverancer vil danne grundlag for yderligere leverancer, som håndtere de identificerede problemstillinger i redegørelsen.</w:t>
      </w:r>
      <w:r w:rsidRPr="00163EBA">
        <w:rPr>
          <w:rFonts w:cs="Arial"/>
          <w:szCs w:val="20"/>
        </w:rPr>
        <w:br/>
      </w:r>
    </w:p>
    <w:p w:rsidR="00163EBA" w:rsidRPr="00163EBA" w:rsidRDefault="00163EBA" w:rsidP="00163EBA">
      <w:pPr>
        <w:rPr>
          <w:rFonts w:cs="Arial"/>
          <w:szCs w:val="20"/>
        </w:rPr>
      </w:pPr>
      <w:r w:rsidRPr="00163EBA">
        <w:rPr>
          <w:rFonts w:cs="Arial"/>
          <w:szCs w:val="20"/>
        </w:rPr>
        <w:t xml:space="preserve">I TAU arbejdes der med håndteringen af GDPR som nålestiksoperationer baseret på konkrete </w:t>
      </w:r>
      <w:proofErr w:type="spellStart"/>
      <w:r w:rsidRPr="00163EBA">
        <w:rPr>
          <w:rFonts w:cs="Arial"/>
          <w:szCs w:val="20"/>
        </w:rPr>
        <w:t>use</w:t>
      </w:r>
      <w:proofErr w:type="spellEnd"/>
      <w:r w:rsidRPr="00163EBA">
        <w:rPr>
          <w:rFonts w:cs="Arial"/>
          <w:szCs w:val="20"/>
        </w:rPr>
        <w:t xml:space="preserve"> cases/leverancer. Områder der kan tages afsæt i er fx:</w:t>
      </w:r>
      <w:r w:rsidRPr="00163EBA">
        <w:rPr>
          <w:rFonts w:cs="Arial"/>
          <w:szCs w:val="20"/>
        </w:rPr>
        <w:br/>
      </w:r>
    </w:p>
    <w:p w:rsidR="00163EBA" w:rsidRPr="00163EBA" w:rsidRDefault="00163EBA" w:rsidP="00163EBA">
      <w:pPr>
        <w:pStyle w:val="Opstilling-punkttegn"/>
        <w:rPr>
          <w:rFonts w:ascii="Arial" w:hAnsi="Arial" w:cs="Arial"/>
          <w:sz w:val="20"/>
          <w:szCs w:val="20"/>
        </w:rPr>
      </w:pPr>
      <w:r w:rsidRPr="00163EBA">
        <w:rPr>
          <w:rFonts w:ascii="Arial" w:hAnsi="Arial" w:cs="Arial"/>
          <w:sz w:val="20"/>
          <w:szCs w:val="20"/>
        </w:rPr>
        <w:t>Deling af egne data (3. parts adgang)</w:t>
      </w:r>
    </w:p>
    <w:p w:rsidR="00163EBA" w:rsidRPr="00163EBA" w:rsidRDefault="00163EBA" w:rsidP="00163EBA">
      <w:pPr>
        <w:pStyle w:val="Opstilling-punkttegn"/>
        <w:rPr>
          <w:rFonts w:ascii="Arial" w:hAnsi="Arial" w:cs="Arial"/>
          <w:sz w:val="20"/>
          <w:szCs w:val="20"/>
        </w:rPr>
      </w:pPr>
      <w:r w:rsidRPr="00163EBA">
        <w:rPr>
          <w:rFonts w:ascii="Arial" w:hAnsi="Arial" w:cs="Arial"/>
          <w:sz w:val="20"/>
          <w:szCs w:val="20"/>
        </w:rPr>
        <w:t>Udstilling af data (open data)</w:t>
      </w:r>
    </w:p>
    <w:p w:rsidR="00163EBA" w:rsidRPr="00163EBA" w:rsidRDefault="00163EBA" w:rsidP="00163EBA">
      <w:pPr>
        <w:pStyle w:val="Opstilling-punkttegn"/>
        <w:rPr>
          <w:rFonts w:ascii="Arial" w:hAnsi="Arial" w:cs="Arial"/>
          <w:sz w:val="20"/>
          <w:szCs w:val="20"/>
        </w:rPr>
      </w:pPr>
      <w:r w:rsidRPr="00163EBA">
        <w:rPr>
          <w:rFonts w:ascii="Arial" w:hAnsi="Arial" w:cs="Arial"/>
          <w:sz w:val="20"/>
          <w:szCs w:val="20"/>
        </w:rPr>
        <w:t xml:space="preserve">Deling af data </w:t>
      </w:r>
    </w:p>
    <w:p w:rsidR="003D0E75" w:rsidRPr="003D0E75" w:rsidRDefault="003D0E75" w:rsidP="00163EBA"/>
    <w:p w:rsidR="0011517C" w:rsidRDefault="00856267" w:rsidP="00BE7454">
      <w:pPr>
        <w:pStyle w:val="Overskrift4"/>
      </w:pPr>
      <w:r>
        <w:t>Opgaver</w:t>
      </w:r>
    </w:p>
    <w:p w:rsidR="00163EBA" w:rsidRPr="00163EBA" w:rsidRDefault="00163EBA" w:rsidP="00163EBA">
      <w:pPr>
        <w:rPr>
          <w:rFonts w:cs="Arial"/>
          <w:szCs w:val="20"/>
        </w:rPr>
      </w:pPr>
      <w:r w:rsidRPr="00163EBA">
        <w:rPr>
          <w:rFonts w:cs="Arial"/>
          <w:szCs w:val="20"/>
        </w:rPr>
        <w:t>I regi af TAU er der særligt fokus GDPR-håndtering ifm. en fælles model for samtykke samt anbefalinger ift. håndtering af fortrolighed. De indledende opgaver vil bestå af:</w:t>
      </w:r>
      <w:r>
        <w:rPr>
          <w:rFonts w:cs="Arial"/>
          <w:szCs w:val="20"/>
        </w:rPr>
        <w:br/>
      </w:r>
    </w:p>
    <w:p w:rsidR="00163EBA" w:rsidRPr="00163EBA" w:rsidRDefault="00163EBA" w:rsidP="00163EBA">
      <w:pPr>
        <w:pStyle w:val="Opstilling-punkttegn"/>
        <w:rPr>
          <w:rFonts w:ascii="Arial" w:hAnsi="Arial" w:cs="Arial"/>
          <w:sz w:val="20"/>
          <w:szCs w:val="20"/>
        </w:rPr>
      </w:pPr>
      <w:r w:rsidRPr="00163EBA">
        <w:rPr>
          <w:rFonts w:ascii="Arial" w:hAnsi="Arial" w:cs="Arial"/>
          <w:sz w:val="20"/>
          <w:szCs w:val="20"/>
        </w:rPr>
        <w:t xml:space="preserve">Identificere centrale GDPR-problematikker for datadeling på baggrund af konkrete </w:t>
      </w:r>
      <w:proofErr w:type="spellStart"/>
      <w:r w:rsidRPr="00163EBA">
        <w:rPr>
          <w:rFonts w:ascii="Arial" w:hAnsi="Arial" w:cs="Arial"/>
          <w:sz w:val="20"/>
          <w:szCs w:val="20"/>
        </w:rPr>
        <w:t>use</w:t>
      </w:r>
      <w:proofErr w:type="spellEnd"/>
      <w:r w:rsidRPr="00163EBA">
        <w:rPr>
          <w:rFonts w:ascii="Arial" w:hAnsi="Arial" w:cs="Arial"/>
          <w:sz w:val="20"/>
          <w:szCs w:val="20"/>
        </w:rPr>
        <w:t xml:space="preserve"> cases mv.</w:t>
      </w:r>
    </w:p>
    <w:p w:rsidR="00163EBA" w:rsidRPr="00163EBA" w:rsidRDefault="00163EBA" w:rsidP="00163EBA">
      <w:pPr>
        <w:pStyle w:val="Opstilling-punkttegn"/>
        <w:rPr>
          <w:rFonts w:ascii="Arial" w:hAnsi="Arial" w:cs="Arial"/>
          <w:sz w:val="20"/>
          <w:szCs w:val="20"/>
        </w:rPr>
      </w:pPr>
      <w:r w:rsidRPr="00163EBA">
        <w:rPr>
          <w:rFonts w:ascii="Arial" w:hAnsi="Arial" w:cs="Arial"/>
          <w:sz w:val="20"/>
          <w:szCs w:val="20"/>
        </w:rPr>
        <w:t xml:space="preserve">Dialog med relevante tilsynsmyndigheder </w:t>
      </w:r>
    </w:p>
    <w:p w:rsidR="00163EBA" w:rsidRPr="00085A50" w:rsidRDefault="00163EBA" w:rsidP="00163EBA">
      <w:pPr>
        <w:pStyle w:val="Opstilling-punkttegn"/>
        <w:rPr>
          <w:rFonts w:ascii="Arial" w:hAnsi="Arial" w:cs="Arial"/>
        </w:rPr>
      </w:pPr>
      <w:r w:rsidRPr="00163EBA">
        <w:rPr>
          <w:rFonts w:ascii="Arial" w:hAnsi="Arial" w:cs="Arial"/>
          <w:sz w:val="20"/>
          <w:szCs w:val="20"/>
        </w:rPr>
        <w:t xml:space="preserve">Indhentning af erfaringer og </w:t>
      </w:r>
      <w:proofErr w:type="spellStart"/>
      <w:r w:rsidRPr="00163EBA">
        <w:rPr>
          <w:rFonts w:ascii="Arial" w:hAnsi="Arial" w:cs="Arial"/>
          <w:sz w:val="20"/>
          <w:szCs w:val="20"/>
        </w:rPr>
        <w:t>best</w:t>
      </w:r>
      <w:proofErr w:type="spellEnd"/>
      <w:r w:rsidRPr="00163EBA">
        <w:rPr>
          <w:rFonts w:ascii="Arial" w:hAnsi="Arial" w:cs="Arial"/>
          <w:sz w:val="20"/>
          <w:szCs w:val="20"/>
        </w:rPr>
        <w:t xml:space="preserve"> practice fra lignende problemstillinger mv</w:t>
      </w:r>
      <w:r w:rsidRPr="00085A50">
        <w:rPr>
          <w:rFonts w:ascii="Arial" w:hAnsi="Arial" w:cs="Arial"/>
        </w:rPr>
        <w:t xml:space="preserve">. </w:t>
      </w:r>
    </w:p>
    <w:p w:rsidR="00735A67" w:rsidRDefault="00735A67" w:rsidP="00735A67"/>
    <w:p w:rsidR="00735A67" w:rsidRDefault="00735A67" w:rsidP="00735A67">
      <w:pPr>
        <w:pStyle w:val="Overskrift4"/>
      </w:pPr>
      <w:r>
        <w:t xml:space="preserve">Afhængigheder </w:t>
      </w:r>
    </w:p>
    <w:p w:rsidR="00163EBA" w:rsidRPr="00085A50" w:rsidRDefault="00163EBA" w:rsidP="00163EBA">
      <w:pPr>
        <w:rPr>
          <w:rFonts w:cs="Arial"/>
        </w:rPr>
      </w:pPr>
      <w:r w:rsidRPr="00085A50">
        <w:rPr>
          <w:rFonts w:cs="Arial"/>
        </w:rPr>
        <w:t xml:space="preserve">EL-DUG leverance 2, skal ifm. datafrisættelse arbejde med anonymisering, hvor skal bistå med GDPR-håndtering og udarbejdelse af anonymiseringsmetode </w:t>
      </w:r>
    </w:p>
    <w:p w:rsidR="00011B72" w:rsidRDefault="00011B72" w:rsidP="00011B72"/>
    <w:p w:rsidR="00011B72" w:rsidRPr="00011B72" w:rsidRDefault="00011B72" w:rsidP="00011B72"/>
    <w:sectPr w:rsidR="00011B72" w:rsidRPr="00011B72" w:rsidSect="009656C1">
      <w:headerReference w:type="default" r:id="rId8"/>
      <w:footerReference w:type="default" r:id="rId9"/>
      <w:headerReference w:type="first" r:id="rId10"/>
      <w:footerReference w:type="first" r:id="rId11"/>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2EE" w:rsidRDefault="005752EE" w:rsidP="008969C1">
      <w:pPr>
        <w:spacing w:line="240" w:lineRule="auto"/>
      </w:pPr>
      <w:r>
        <w:separator/>
      </w:r>
    </w:p>
  </w:endnote>
  <w:endnote w:type="continuationSeparator" w:id="0">
    <w:p w:rsidR="005752EE" w:rsidRDefault="005752EE"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Pr="00835DC0" w:rsidRDefault="008969C1">
    <w:pPr>
      <w:pStyle w:val="Sidefod"/>
      <w:rPr>
        <w:sz w:val="16"/>
        <w:szCs w:val="16"/>
      </w:rPr>
    </w:pP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835DC0">
      <w:rPr>
        <w:noProof/>
        <w:sz w:val="16"/>
        <w:szCs w:val="16"/>
      </w:rPr>
      <w:t>2</w:t>
    </w:r>
    <w:r w:rsidRPr="00835DC0">
      <w:rPr>
        <w:sz w:val="16"/>
        <w:szCs w:val="16"/>
      </w:rPr>
      <w:fldChar w:fldCharType="end"/>
    </w:r>
    <w:r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82390B">
      <w:rPr>
        <w:noProof/>
        <w:sz w:val="16"/>
        <w:szCs w:val="16"/>
      </w:rPr>
      <w:t>1</w:t>
    </w:r>
    <w:r w:rsidR="00193547" w:rsidRPr="00835DC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Pr="00835DC0" w:rsidRDefault="00BA0FCB">
    <w:pPr>
      <w:pStyle w:val="Sidefod"/>
      <w:rPr>
        <w:sz w:val="16"/>
        <w:szCs w:val="16"/>
      </w:rPr>
    </w:pPr>
    <w:r w:rsidRPr="00835DC0">
      <w:rPr>
        <w:noProof/>
        <w:sz w:val="16"/>
        <w:szCs w:val="16"/>
        <w:lang w:eastAsia="da-DK"/>
      </w:rPr>
      <mc:AlternateContent>
        <mc:Choice Requires="wps">
          <w:drawing>
            <wp:anchor distT="0" distB="0" distL="114300" distR="114300" simplePos="0" relativeHeight="251659264" behindDoc="0" locked="0" layoutInCell="1" allowOverlap="1" wp14:anchorId="77D9CE2B" wp14:editId="35F9B6AE">
              <wp:simplePos x="0" y="0"/>
              <wp:positionH relativeFrom="page">
                <wp:posOffset>4848225</wp:posOffset>
              </wp:positionH>
              <wp:positionV relativeFrom="page">
                <wp:posOffset>8943975</wp:posOffset>
              </wp:positionV>
              <wp:extent cx="20523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20523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7F438B" w:rsidRDefault="007F438B" w:rsidP="003B7D18">
                          <w:pPr>
                            <w:spacing w:line="192" w:lineRule="atLeast"/>
                            <w:rPr>
                              <w:b/>
                              <w:sz w:val="16"/>
                              <w:szCs w:val="16"/>
                            </w:rPr>
                          </w:pPr>
                        </w:p>
                        <w:p w:rsidR="00DA7419" w:rsidRDefault="005842A1" w:rsidP="003B7D18">
                          <w:pPr>
                            <w:spacing w:line="192" w:lineRule="atLeast"/>
                            <w:rPr>
                              <w:b/>
                              <w:sz w:val="16"/>
                              <w:szCs w:val="16"/>
                            </w:rPr>
                          </w:pPr>
                          <w:r>
                            <w:rPr>
                              <w:b/>
                              <w:sz w:val="16"/>
                              <w:szCs w:val="16"/>
                            </w:rPr>
                            <w:t>Forsyningsdigitaliseringsprogrammet</w:t>
                          </w:r>
                        </w:p>
                        <w:p w:rsidR="00DA7419" w:rsidRDefault="005842A1" w:rsidP="00110084">
                          <w:pPr>
                            <w:spacing w:line="192" w:lineRule="atLeast"/>
                            <w:rPr>
                              <w:sz w:val="16"/>
                              <w:szCs w:val="16"/>
                            </w:rPr>
                          </w:pPr>
                          <w:r>
                            <w:rPr>
                              <w:sz w:val="16"/>
                              <w:szCs w:val="16"/>
                            </w:rPr>
                            <w:t>E: fdp</w:t>
                          </w:r>
                          <w:r w:rsidR="00110084" w:rsidRPr="00110084">
                            <w:rPr>
                              <w:sz w:val="16"/>
                              <w:szCs w:val="16"/>
                            </w:rPr>
                            <w:t>@ens.dk</w:t>
                          </w:r>
                        </w:p>
                        <w:p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9CE2B" id="_x0000_t202" coordsize="21600,21600" o:spt="202" path="m,l,21600r21600,l21600,xe">
              <v:stroke joinstyle="miter"/>
              <v:path gradientshapeok="t" o:connecttype="rect"/>
            </v:shapetype>
            <v:shape id="Tekstboks 2" o:spid="_x0000_s1026" type="#_x0000_t202" style="position:absolute;margin-left:381.75pt;margin-top:704.25pt;width:161.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" filled="f" stroked="f" strokeweight=".5pt">
              <v:textbox>
                <w:txbxContent>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7F438B" w:rsidRDefault="007F438B" w:rsidP="003B7D18">
                    <w:pPr>
                      <w:spacing w:line="192" w:lineRule="atLeast"/>
                      <w:rPr>
                        <w:b/>
                        <w:sz w:val="16"/>
                        <w:szCs w:val="16"/>
                      </w:rPr>
                    </w:pPr>
                  </w:p>
                  <w:p w:rsidR="00DA7419" w:rsidRDefault="005842A1" w:rsidP="003B7D18">
                    <w:pPr>
                      <w:spacing w:line="192" w:lineRule="atLeast"/>
                      <w:rPr>
                        <w:b/>
                        <w:sz w:val="16"/>
                        <w:szCs w:val="16"/>
                      </w:rPr>
                    </w:pPr>
                    <w:r>
                      <w:rPr>
                        <w:b/>
                        <w:sz w:val="16"/>
                        <w:szCs w:val="16"/>
                      </w:rPr>
                      <w:t>Forsyningsdigitaliseringsprogrammet</w:t>
                    </w:r>
                  </w:p>
                  <w:p w:rsidR="00DA7419" w:rsidRDefault="005842A1" w:rsidP="00110084">
                    <w:pPr>
                      <w:spacing w:line="192" w:lineRule="atLeast"/>
                      <w:rPr>
                        <w:sz w:val="16"/>
                        <w:szCs w:val="16"/>
                      </w:rPr>
                    </w:pPr>
                    <w:r>
                      <w:rPr>
                        <w:sz w:val="16"/>
                        <w:szCs w:val="16"/>
                      </w:rPr>
                      <w:t>E: fdp</w:t>
                    </w:r>
                    <w:r w:rsidR="00110084" w:rsidRPr="00110084">
                      <w:rPr>
                        <w:sz w:val="16"/>
                        <w:szCs w:val="16"/>
                      </w:rPr>
                      <w:t>@ens.dk</w:t>
                    </w:r>
                  </w:p>
                  <w:p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v:textbox>
              <w10:wrap anchorx="page" anchory="page"/>
            </v:shape>
          </w:pict>
        </mc:Fallback>
      </mc:AlternateContent>
    </w:r>
    <w:r w:rsidR="008969C1" w:rsidRPr="00835DC0">
      <w:rPr>
        <w:sz w:val="16"/>
        <w:szCs w:val="16"/>
      </w:rPr>
      <w:t xml:space="preserve">Side </w:t>
    </w:r>
    <w:r w:rsidR="008969C1" w:rsidRPr="00835DC0">
      <w:rPr>
        <w:sz w:val="16"/>
        <w:szCs w:val="16"/>
      </w:rPr>
      <w:fldChar w:fldCharType="begin"/>
    </w:r>
    <w:r w:rsidR="008969C1" w:rsidRPr="00835DC0">
      <w:rPr>
        <w:sz w:val="16"/>
        <w:szCs w:val="16"/>
      </w:rPr>
      <w:instrText xml:space="preserve"> PAGE </w:instrText>
    </w:r>
    <w:r w:rsidR="008969C1" w:rsidRPr="00835DC0">
      <w:rPr>
        <w:sz w:val="16"/>
        <w:szCs w:val="16"/>
      </w:rPr>
      <w:fldChar w:fldCharType="separate"/>
    </w:r>
    <w:r w:rsidR="00402E1B">
      <w:rPr>
        <w:noProof/>
        <w:sz w:val="16"/>
        <w:szCs w:val="16"/>
      </w:rPr>
      <w:t>1</w:t>
    </w:r>
    <w:r w:rsidR="008969C1" w:rsidRPr="00835DC0">
      <w:rPr>
        <w:sz w:val="16"/>
        <w:szCs w:val="16"/>
      </w:rPr>
      <w:fldChar w:fldCharType="end"/>
    </w:r>
    <w:r w:rsidR="008969C1"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402E1B">
      <w:rPr>
        <w:noProof/>
        <w:sz w:val="16"/>
        <w:szCs w:val="16"/>
      </w:rPr>
      <w:t>1</w:t>
    </w:r>
    <w:r w:rsidR="00193547" w:rsidRPr="00835D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2EE" w:rsidRDefault="005752EE" w:rsidP="008969C1">
      <w:pPr>
        <w:spacing w:line="240" w:lineRule="auto"/>
      </w:pPr>
      <w:r>
        <w:separator/>
      </w:r>
    </w:p>
  </w:footnote>
  <w:footnote w:type="continuationSeparator" w:id="0">
    <w:p w:rsidR="005752EE" w:rsidRDefault="005752EE" w:rsidP="00896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Default="00804D82">
    <w:pPr>
      <w:pStyle w:val="Sidehoved"/>
    </w:pPr>
    <w:r>
      <w:rPr>
        <w:noProof/>
        <w:lang w:eastAsia="da-DK"/>
      </w:rPr>
      <w:drawing>
        <wp:anchor distT="0" distB="0" distL="114300" distR="114300" simplePos="0" relativeHeight="251675648" behindDoc="0" locked="0" layoutInCell="1" allowOverlap="1" wp14:anchorId="1172BDE5" wp14:editId="79EBC7AA">
          <wp:simplePos x="0" y="0"/>
          <wp:positionH relativeFrom="margin">
            <wp:posOffset>-24809</wp:posOffset>
          </wp:positionH>
          <wp:positionV relativeFrom="paragraph">
            <wp:posOffset>28575</wp:posOffset>
          </wp:positionV>
          <wp:extent cx="1882800" cy="648000"/>
          <wp:effectExtent l="0" t="0" r="3175"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1882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C3" w:rsidRDefault="005E3FC3">
    <w:pPr>
      <w:pStyle w:val="Sidehoved"/>
    </w:pPr>
  </w:p>
  <w:p w:rsidR="005842A1" w:rsidRDefault="00163EBA">
    <w:pPr>
      <w:pStyle w:val="Sidehoved"/>
      <w:rPr>
        <w:b/>
        <w:noProof/>
        <w:lang w:eastAsia="da-DK"/>
      </w:rPr>
    </w:pPr>
    <w:r w:rsidRPr="00D0279D">
      <w:rPr>
        <w:rFonts w:ascii="Times New Roman" w:eastAsia="Times New Roman" w:hAnsi="Times New Roman" w:cs="Times New Roman"/>
        <w:noProof/>
        <w:sz w:val="24"/>
        <w:szCs w:val="24"/>
        <w:lang w:eastAsia="da-DK"/>
      </w:rPr>
      <w:drawing>
        <wp:anchor distT="0" distB="0" distL="114300" distR="114300" simplePos="0" relativeHeight="251658239" behindDoc="0" locked="0" layoutInCell="1" allowOverlap="1" wp14:anchorId="7F8DA251" wp14:editId="7798F3F6">
          <wp:simplePos x="0" y="0"/>
          <wp:positionH relativeFrom="margin">
            <wp:posOffset>-26670</wp:posOffset>
          </wp:positionH>
          <wp:positionV relativeFrom="paragraph">
            <wp:posOffset>28575</wp:posOffset>
          </wp:positionV>
          <wp:extent cx="2392045" cy="634365"/>
          <wp:effectExtent l="0" t="0" r="8255" b="0"/>
          <wp:wrapSquare wrapText="bothSides"/>
          <wp:docPr id="3" name="Billede 3" descr="https://sdfe.sdfewebh-spf01p.prod.sitad.dk/Nyhedsarkiv/PublishingImages/Faglig/Klimadatastyrel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fe.sdfewebh-spf01p.prod.sitad.dk/Nyhedsarkiv/PublishingImages/Faglig/Klimadatastyrels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045"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FC3" w:rsidRPr="005E3FC3">
      <w:rPr>
        <w:b/>
        <w:noProof/>
        <w:lang w:eastAsia="da-DK"/>
      </w:rPr>
      <w:t xml:space="preserve"> </w:t>
    </w:r>
    <w:r w:rsidR="005842A1">
      <w:rPr>
        <w:b/>
        <w:noProof/>
        <w:lang w:eastAsia="da-DK"/>
      </w:rPr>
      <w:tab/>
    </w:r>
    <w:r w:rsidR="005842A1">
      <w:rPr>
        <w:b/>
        <w:noProof/>
        <w:lang w:eastAsia="da-DK"/>
      </w:rPr>
      <w:tab/>
    </w:r>
  </w:p>
  <w:p w:rsidR="005842A1" w:rsidRDefault="005842A1">
    <w:pPr>
      <w:pStyle w:val="Sidehoved"/>
      <w:rPr>
        <w:b/>
        <w:noProof/>
        <w:lang w:eastAsia="da-DK"/>
      </w:rPr>
    </w:pPr>
  </w:p>
  <w:p w:rsidR="008969C1" w:rsidRPr="005E3FC3" w:rsidRDefault="00177BFB" w:rsidP="005842A1">
    <w:pPr>
      <w:pStyle w:val="Sidehoved"/>
      <w:jc w:val="right"/>
      <w:rPr>
        <w:b/>
        <w:noProof/>
        <w:lang w:eastAsia="da-DK"/>
      </w:rPr>
    </w:pPr>
    <w:r>
      <w:rPr>
        <w:b/>
        <w:noProof/>
        <w:lang w:eastAsia="da-DK"/>
      </w:rPr>
      <w:tab/>
    </w:r>
    <w:r>
      <w:rPr>
        <w:b/>
        <w:noProof/>
        <w:lang w:eastAsia="da-DK"/>
      </w:rPr>
      <w:tab/>
      <w:t xml:space="preserve">  </w:t>
    </w:r>
    <w:r w:rsidR="00163EBA">
      <w:rPr>
        <w:b/>
        <w:noProof/>
        <w:lang w:eastAsia="da-DK"/>
      </w:rPr>
      <w:t>TAU</w:t>
    </w:r>
    <w:r>
      <w:rPr>
        <w:b/>
        <w:noProof/>
        <w:lang w:eastAsia="da-DK"/>
      </w:rPr>
      <w:t xml:space="preserve"> d. </w:t>
    </w:r>
    <w:r w:rsidR="00163EBA">
      <w:rPr>
        <w:b/>
        <w:noProof/>
        <w:lang w:eastAsia="da-DK"/>
      </w:rPr>
      <w:t>25</w:t>
    </w:r>
    <w:r>
      <w:rPr>
        <w:b/>
        <w:noProof/>
        <w:lang w:eastAsia="da-DK"/>
      </w:rPr>
      <w:t xml:space="preserve">. </w:t>
    </w:r>
    <w:r w:rsidR="00163EBA">
      <w:rPr>
        <w:b/>
        <w:noProof/>
        <w:lang w:eastAsia="da-DK"/>
      </w:rPr>
      <w:t>september</w:t>
    </w:r>
    <w:r>
      <w:rPr>
        <w:b/>
        <w:noProof/>
        <w:lang w:eastAsia="da-DK"/>
      </w:rPr>
      <w:t xml:space="preserve"> 202</w:t>
    </w:r>
    <w:r w:rsidR="00163EBA">
      <w:rPr>
        <w:b/>
        <w:noProof/>
        <w:lang w:eastAsia="da-DK"/>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4DE09AE"/>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90B"/>
    <w:rsid w:val="00011B72"/>
    <w:rsid w:val="00022817"/>
    <w:rsid w:val="00036061"/>
    <w:rsid w:val="00052E80"/>
    <w:rsid w:val="00065C74"/>
    <w:rsid w:val="00071EE1"/>
    <w:rsid w:val="00086163"/>
    <w:rsid w:val="00093D64"/>
    <w:rsid w:val="00096B1E"/>
    <w:rsid w:val="000A08E2"/>
    <w:rsid w:val="000B41EC"/>
    <w:rsid w:val="000D7BA0"/>
    <w:rsid w:val="000E3AC9"/>
    <w:rsid w:val="00110084"/>
    <w:rsid w:val="0011517C"/>
    <w:rsid w:val="00135F4E"/>
    <w:rsid w:val="00135FA2"/>
    <w:rsid w:val="00140C61"/>
    <w:rsid w:val="00163EBA"/>
    <w:rsid w:val="00164D3D"/>
    <w:rsid w:val="00177BFB"/>
    <w:rsid w:val="00193547"/>
    <w:rsid w:val="001E498A"/>
    <w:rsid w:val="001F64C1"/>
    <w:rsid w:val="00222DCA"/>
    <w:rsid w:val="002611C9"/>
    <w:rsid w:val="0027768F"/>
    <w:rsid w:val="002861AB"/>
    <w:rsid w:val="00296E6F"/>
    <w:rsid w:val="00297DFF"/>
    <w:rsid w:val="002A4EDA"/>
    <w:rsid w:val="002C135B"/>
    <w:rsid w:val="003059EE"/>
    <w:rsid w:val="0034007A"/>
    <w:rsid w:val="00347BCC"/>
    <w:rsid w:val="00352DBE"/>
    <w:rsid w:val="00364721"/>
    <w:rsid w:val="003976B0"/>
    <w:rsid w:val="003B31EC"/>
    <w:rsid w:val="003B5DBB"/>
    <w:rsid w:val="003B7D18"/>
    <w:rsid w:val="003D0E75"/>
    <w:rsid w:val="004002DA"/>
    <w:rsid w:val="00402E1B"/>
    <w:rsid w:val="004129C4"/>
    <w:rsid w:val="00413E19"/>
    <w:rsid w:val="00436E82"/>
    <w:rsid w:val="004456A7"/>
    <w:rsid w:val="004704DA"/>
    <w:rsid w:val="00491E68"/>
    <w:rsid w:val="004A0CFD"/>
    <w:rsid w:val="004B53D4"/>
    <w:rsid w:val="004D5CFB"/>
    <w:rsid w:val="004E2EED"/>
    <w:rsid w:val="004F1001"/>
    <w:rsid w:val="004F5C81"/>
    <w:rsid w:val="004F6E56"/>
    <w:rsid w:val="00502AFB"/>
    <w:rsid w:val="0052539C"/>
    <w:rsid w:val="00527652"/>
    <w:rsid w:val="005340A7"/>
    <w:rsid w:val="00535D99"/>
    <w:rsid w:val="00556827"/>
    <w:rsid w:val="005752EE"/>
    <w:rsid w:val="00583115"/>
    <w:rsid w:val="005842A1"/>
    <w:rsid w:val="005901BB"/>
    <w:rsid w:val="005D1B29"/>
    <w:rsid w:val="005E3FC3"/>
    <w:rsid w:val="00604944"/>
    <w:rsid w:val="006202F5"/>
    <w:rsid w:val="00622FCD"/>
    <w:rsid w:val="00665F29"/>
    <w:rsid w:val="00667FF1"/>
    <w:rsid w:val="00674D05"/>
    <w:rsid w:val="006803EB"/>
    <w:rsid w:val="00681C07"/>
    <w:rsid w:val="00694A54"/>
    <w:rsid w:val="0069599A"/>
    <w:rsid w:val="006D6210"/>
    <w:rsid w:val="006E4D5D"/>
    <w:rsid w:val="006E691D"/>
    <w:rsid w:val="006F3ECC"/>
    <w:rsid w:val="00721870"/>
    <w:rsid w:val="00724326"/>
    <w:rsid w:val="00735A67"/>
    <w:rsid w:val="007636C2"/>
    <w:rsid w:val="00773FA9"/>
    <w:rsid w:val="00775419"/>
    <w:rsid w:val="00786DB8"/>
    <w:rsid w:val="007B75E6"/>
    <w:rsid w:val="007D7217"/>
    <w:rsid w:val="007F438B"/>
    <w:rsid w:val="007F7484"/>
    <w:rsid w:val="00800E2B"/>
    <w:rsid w:val="00802C9E"/>
    <w:rsid w:val="00804D82"/>
    <w:rsid w:val="008176EC"/>
    <w:rsid w:val="0082390B"/>
    <w:rsid w:val="00835DC0"/>
    <w:rsid w:val="0083694E"/>
    <w:rsid w:val="00852392"/>
    <w:rsid w:val="008543DD"/>
    <w:rsid w:val="00856267"/>
    <w:rsid w:val="008959BC"/>
    <w:rsid w:val="008963E9"/>
    <w:rsid w:val="008969C1"/>
    <w:rsid w:val="008A2C80"/>
    <w:rsid w:val="008E6610"/>
    <w:rsid w:val="008F2666"/>
    <w:rsid w:val="008F54B5"/>
    <w:rsid w:val="00923F35"/>
    <w:rsid w:val="00940553"/>
    <w:rsid w:val="00941A73"/>
    <w:rsid w:val="009449EF"/>
    <w:rsid w:val="00964849"/>
    <w:rsid w:val="009656C1"/>
    <w:rsid w:val="00971513"/>
    <w:rsid w:val="009A3C98"/>
    <w:rsid w:val="009C4438"/>
    <w:rsid w:val="009D3FB5"/>
    <w:rsid w:val="00A223CB"/>
    <w:rsid w:val="00A46851"/>
    <w:rsid w:val="00A53376"/>
    <w:rsid w:val="00A53C43"/>
    <w:rsid w:val="00A854AD"/>
    <w:rsid w:val="00A9284C"/>
    <w:rsid w:val="00A97EC2"/>
    <w:rsid w:val="00AB0C78"/>
    <w:rsid w:val="00AB4885"/>
    <w:rsid w:val="00AC60EA"/>
    <w:rsid w:val="00B0187A"/>
    <w:rsid w:val="00B0453B"/>
    <w:rsid w:val="00B12E08"/>
    <w:rsid w:val="00B1566A"/>
    <w:rsid w:val="00B536E9"/>
    <w:rsid w:val="00B80EA0"/>
    <w:rsid w:val="00BA0FCB"/>
    <w:rsid w:val="00BC0B2C"/>
    <w:rsid w:val="00BC1C56"/>
    <w:rsid w:val="00BD2772"/>
    <w:rsid w:val="00BE7454"/>
    <w:rsid w:val="00C20E5C"/>
    <w:rsid w:val="00C4750C"/>
    <w:rsid w:val="00C651CC"/>
    <w:rsid w:val="00C76EC2"/>
    <w:rsid w:val="00CB3A7C"/>
    <w:rsid w:val="00CD48B3"/>
    <w:rsid w:val="00CD7252"/>
    <w:rsid w:val="00CF0A4B"/>
    <w:rsid w:val="00CF6D05"/>
    <w:rsid w:val="00D1257F"/>
    <w:rsid w:val="00D12E7B"/>
    <w:rsid w:val="00D25373"/>
    <w:rsid w:val="00D357CF"/>
    <w:rsid w:val="00D536C2"/>
    <w:rsid w:val="00D93447"/>
    <w:rsid w:val="00DA7419"/>
    <w:rsid w:val="00DC2214"/>
    <w:rsid w:val="00DD1186"/>
    <w:rsid w:val="00DE0419"/>
    <w:rsid w:val="00E452E8"/>
    <w:rsid w:val="00E65202"/>
    <w:rsid w:val="00E96EBA"/>
    <w:rsid w:val="00EB2424"/>
    <w:rsid w:val="00EB6E23"/>
    <w:rsid w:val="00EB76A7"/>
    <w:rsid w:val="00ED066E"/>
    <w:rsid w:val="00EE7838"/>
    <w:rsid w:val="00F126B7"/>
    <w:rsid w:val="00F3314C"/>
    <w:rsid w:val="00F714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03D9E1"/>
  <w15:docId w15:val="{D1BDCE1B-9229-40C7-801F-561B2685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Titel"/>
    <w:next w:val="Normal"/>
    <w:link w:val="Overskrift1Tegn"/>
    <w:uiPriority w:val="9"/>
    <w:qFormat/>
    <w:rsid w:val="00E96EBA"/>
    <w:pPr>
      <w:outlineLvl w:val="0"/>
    </w:pPr>
  </w:style>
  <w:style w:type="paragraph" w:styleId="Overskrift2">
    <w:name w:val="heading 2"/>
    <w:basedOn w:val="Normal"/>
    <w:next w:val="Normal"/>
    <w:link w:val="Overskrift2Tegn"/>
    <w:uiPriority w:val="9"/>
    <w:unhideWhenUsed/>
    <w:qFormat/>
    <w:rsid w:val="00E96EBA"/>
    <w:pPr>
      <w:keepNext/>
      <w:keepLines/>
      <w:spacing w:before="200"/>
      <w:outlineLvl w:val="1"/>
    </w:pPr>
    <w:rPr>
      <w:rFonts w:asciiTheme="majorHAnsi" w:eastAsiaTheme="majorEastAsia" w:hAnsiTheme="majorHAnsi" w:cstheme="majorBidi"/>
      <w:b/>
      <w:bCs/>
      <w:color w:val="004B53" w:themeColor="text2"/>
      <w:sz w:val="28"/>
      <w:szCs w:val="26"/>
    </w:rPr>
  </w:style>
  <w:style w:type="paragraph" w:styleId="Overskrift3">
    <w:name w:val="heading 3"/>
    <w:basedOn w:val="Normal"/>
    <w:next w:val="Normal"/>
    <w:link w:val="Overskrift3Tegn"/>
    <w:uiPriority w:val="9"/>
    <w:unhideWhenUsed/>
    <w:qFormat/>
    <w:rsid w:val="00E96EBA"/>
    <w:pPr>
      <w:keepNext/>
      <w:keepLines/>
      <w:spacing w:before="200"/>
      <w:outlineLvl w:val="2"/>
    </w:pPr>
    <w:rPr>
      <w:rFonts w:asciiTheme="majorHAnsi" w:eastAsiaTheme="majorEastAsia" w:hAnsiTheme="majorHAnsi" w:cstheme="majorBidi"/>
      <w:b/>
      <w:bCs/>
      <w:color w:val="0097A7" w:themeColor="accent1"/>
      <w:sz w:val="26"/>
    </w:rPr>
  </w:style>
  <w:style w:type="paragraph" w:styleId="Overskrift4">
    <w:name w:val="heading 4"/>
    <w:basedOn w:val="Normal"/>
    <w:next w:val="Normal"/>
    <w:link w:val="Overskrift4Tegn"/>
    <w:uiPriority w:val="9"/>
    <w:unhideWhenUsed/>
    <w:qFormat/>
    <w:rsid w:val="00E96EBA"/>
    <w:pPr>
      <w:keepNext/>
      <w:keepLines/>
      <w:spacing w:before="40"/>
      <w:outlineLvl w:val="3"/>
    </w:pPr>
    <w:rPr>
      <w:rFonts w:asciiTheme="majorHAnsi" w:eastAsiaTheme="majorEastAsia" w:hAnsiTheme="majorHAnsi" w:cstheme="majorBidi"/>
      <w:b/>
      <w:iCs/>
      <w:color w:val="00707D" w:themeColor="accent1" w:themeShade="BF"/>
    </w:rPr>
  </w:style>
  <w:style w:type="paragraph" w:styleId="Overskrift5">
    <w:name w:val="heading 5"/>
    <w:basedOn w:val="Normal"/>
    <w:next w:val="Normal"/>
    <w:link w:val="Overskrift5Tegn"/>
    <w:uiPriority w:val="9"/>
    <w:unhideWhenUsed/>
    <w:qFormat/>
    <w:rsid w:val="00E96EBA"/>
    <w:pPr>
      <w:keepNext/>
      <w:keepLines/>
      <w:spacing w:before="40"/>
      <w:outlineLvl w:val="4"/>
    </w:pPr>
    <w:rPr>
      <w:rFonts w:asciiTheme="majorHAnsi" w:eastAsiaTheme="majorEastAsia" w:hAnsiTheme="majorHAnsi" w:cstheme="majorBidi"/>
      <w:i/>
      <w:color w:val="00707D"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4BB3C4" w:themeColor="hyperlink"/>
      <w:u w:val="single"/>
    </w:rPr>
  </w:style>
  <w:style w:type="character" w:customStyle="1" w:styleId="Overskrift2Tegn">
    <w:name w:val="Overskrift 2 Tegn"/>
    <w:basedOn w:val="Standardskrifttypeiafsnit"/>
    <w:link w:val="Overskrift2"/>
    <w:uiPriority w:val="9"/>
    <w:rsid w:val="00E96EBA"/>
    <w:rPr>
      <w:rFonts w:asciiTheme="majorHAnsi" w:eastAsiaTheme="majorEastAsia" w:hAnsiTheme="majorHAnsi" w:cstheme="majorBidi"/>
      <w:b/>
      <w:bCs/>
      <w:color w:val="004B53" w:themeColor="text2"/>
      <w:sz w:val="28"/>
      <w:szCs w:val="26"/>
    </w:rPr>
  </w:style>
  <w:style w:type="character" w:customStyle="1" w:styleId="Overskrift3Tegn">
    <w:name w:val="Overskrift 3 Tegn"/>
    <w:basedOn w:val="Standardskrifttypeiafsnit"/>
    <w:link w:val="Overskrift3"/>
    <w:uiPriority w:val="9"/>
    <w:rsid w:val="00E96EBA"/>
    <w:rPr>
      <w:rFonts w:asciiTheme="majorHAnsi" w:eastAsiaTheme="majorEastAsia" w:hAnsiTheme="majorHAnsi" w:cstheme="majorBidi"/>
      <w:b/>
      <w:bCs/>
      <w:color w:val="0097A7" w:themeColor="accent1"/>
      <w:sz w:val="26"/>
    </w:rPr>
  </w:style>
  <w:style w:type="character" w:customStyle="1" w:styleId="Overskrift1Tegn">
    <w:name w:val="Overskrift 1 Tegn"/>
    <w:basedOn w:val="Standardskrifttypeiafsnit"/>
    <w:link w:val="Overskrift1"/>
    <w:uiPriority w:val="9"/>
    <w:rsid w:val="00E96EBA"/>
    <w:rPr>
      <w:rFonts w:asciiTheme="majorHAnsi" w:eastAsiaTheme="majorEastAsia" w:hAnsiTheme="majorHAnsi" w:cstheme="majorBidi"/>
      <w:b/>
      <w:color w:val="0097A7" w:themeColor="accent1"/>
      <w:sz w:val="26"/>
      <w:szCs w:val="56"/>
    </w:rPr>
  </w:style>
  <w:style w:type="paragraph" w:styleId="Titel">
    <w:name w:val="Title"/>
    <w:basedOn w:val="Normal"/>
    <w:next w:val="Normal"/>
    <w:link w:val="TitelTegn"/>
    <w:autoRedefine/>
    <w:uiPriority w:val="10"/>
    <w:qFormat/>
    <w:rsid w:val="00941A73"/>
    <w:pPr>
      <w:spacing w:line="360" w:lineRule="auto"/>
      <w:contextualSpacing/>
    </w:pPr>
    <w:rPr>
      <w:rFonts w:asciiTheme="majorHAnsi" w:eastAsiaTheme="majorEastAsia" w:hAnsiTheme="majorHAnsi" w:cstheme="majorBidi"/>
      <w:b/>
      <w:color w:val="0097A7" w:themeColor="accent1"/>
      <w:sz w:val="26"/>
      <w:szCs w:val="56"/>
    </w:rPr>
  </w:style>
  <w:style w:type="character" w:customStyle="1" w:styleId="TitelTegn">
    <w:name w:val="Titel Tegn"/>
    <w:basedOn w:val="Standardskrifttypeiafsnit"/>
    <w:link w:val="Titel"/>
    <w:uiPriority w:val="10"/>
    <w:rsid w:val="00941A73"/>
    <w:rPr>
      <w:rFonts w:asciiTheme="majorHAnsi" w:eastAsiaTheme="majorEastAsia" w:hAnsiTheme="majorHAnsi" w:cstheme="majorBidi"/>
      <w:b/>
      <w:color w:val="0097A7" w:themeColor="accent1"/>
      <w:sz w:val="26"/>
      <w:szCs w:val="56"/>
    </w:rPr>
  </w:style>
  <w:style w:type="paragraph" w:customStyle="1" w:styleId="Normalfed">
    <w:name w:val="Normal fed"/>
    <w:basedOn w:val="Normal"/>
    <w:link w:val="NormalfedTegn"/>
    <w:qFormat/>
    <w:rsid w:val="00EB6E23"/>
    <w:rPr>
      <w:rFonts w:cs="Arial"/>
      <w:b/>
      <w:iCs/>
      <w:szCs w:val="20"/>
    </w:rPr>
  </w:style>
  <w:style w:type="character" w:customStyle="1" w:styleId="NormalfedTegn">
    <w:name w:val="Normal fed Tegn"/>
    <w:basedOn w:val="Standardskrifttypeiafsnit"/>
    <w:link w:val="Normalfed"/>
    <w:rsid w:val="00EB6E23"/>
    <w:rPr>
      <w:rFonts w:ascii="Arial" w:hAnsi="Arial" w:cs="Arial"/>
      <w:b/>
      <w:iCs/>
      <w:sz w:val="20"/>
      <w:szCs w:val="20"/>
    </w:rPr>
  </w:style>
  <w:style w:type="character" w:customStyle="1" w:styleId="Overskrift4Tegn">
    <w:name w:val="Overskrift 4 Tegn"/>
    <w:basedOn w:val="Standardskrifttypeiafsnit"/>
    <w:link w:val="Overskrift4"/>
    <w:uiPriority w:val="9"/>
    <w:rsid w:val="00E96EBA"/>
    <w:rPr>
      <w:rFonts w:asciiTheme="majorHAnsi" w:eastAsiaTheme="majorEastAsia" w:hAnsiTheme="majorHAnsi" w:cstheme="majorBidi"/>
      <w:b/>
      <w:iCs/>
      <w:color w:val="00707D" w:themeColor="accent1" w:themeShade="BF"/>
      <w:sz w:val="20"/>
    </w:rPr>
  </w:style>
  <w:style w:type="character" w:customStyle="1" w:styleId="Overskrift5Tegn">
    <w:name w:val="Overskrift 5 Tegn"/>
    <w:basedOn w:val="Standardskrifttypeiafsnit"/>
    <w:link w:val="Overskrift5"/>
    <w:uiPriority w:val="9"/>
    <w:rsid w:val="00E96EBA"/>
    <w:rPr>
      <w:rFonts w:asciiTheme="majorHAnsi" w:eastAsiaTheme="majorEastAsia" w:hAnsiTheme="majorHAnsi" w:cstheme="majorBidi"/>
      <w:i/>
      <w:color w:val="00707D" w:themeColor="accent1" w:themeShade="BF"/>
      <w:sz w:val="20"/>
    </w:rPr>
  </w:style>
  <w:style w:type="character" w:styleId="Kommentarhenvisning">
    <w:name w:val="annotation reference"/>
    <w:basedOn w:val="Standardskrifttypeiafsnit"/>
    <w:uiPriority w:val="99"/>
    <w:semiHidden/>
    <w:unhideWhenUsed/>
    <w:rsid w:val="0011517C"/>
    <w:rPr>
      <w:sz w:val="16"/>
      <w:szCs w:val="16"/>
    </w:rPr>
  </w:style>
  <w:style w:type="paragraph" w:styleId="Kommentartekst">
    <w:name w:val="annotation text"/>
    <w:basedOn w:val="Normal"/>
    <w:link w:val="KommentartekstTegn"/>
    <w:uiPriority w:val="99"/>
    <w:semiHidden/>
    <w:unhideWhenUsed/>
    <w:rsid w:val="0011517C"/>
    <w:pPr>
      <w:spacing w:line="240" w:lineRule="auto"/>
    </w:pPr>
    <w:rPr>
      <w:szCs w:val="20"/>
    </w:rPr>
  </w:style>
  <w:style w:type="character" w:customStyle="1" w:styleId="KommentartekstTegn">
    <w:name w:val="Kommentartekst Tegn"/>
    <w:basedOn w:val="Standardskrifttypeiafsnit"/>
    <w:link w:val="Kommentartekst"/>
    <w:uiPriority w:val="99"/>
    <w:semiHidden/>
    <w:rsid w:val="0011517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1517C"/>
    <w:rPr>
      <w:b/>
      <w:bCs/>
    </w:rPr>
  </w:style>
  <w:style w:type="character" w:customStyle="1" w:styleId="KommentaremneTegn">
    <w:name w:val="Kommentaremne Tegn"/>
    <w:basedOn w:val="KommentartekstTegn"/>
    <w:link w:val="Kommentaremne"/>
    <w:uiPriority w:val="99"/>
    <w:semiHidden/>
    <w:rsid w:val="0011517C"/>
    <w:rPr>
      <w:rFonts w:ascii="Arial" w:hAnsi="Arial"/>
      <w:b/>
      <w:bCs/>
      <w:sz w:val="20"/>
      <w:szCs w:val="20"/>
    </w:rPr>
  </w:style>
  <w:style w:type="paragraph" w:styleId="Opstilling-punkttegn">
    <w:name w:val="List Bullet"/>
    <w:basedOn w:val="Normal"/>
    <w:uiPriority w:val="99"/>
    <w:unhideWhenUsed/>
    <w:rsid w:val="00163EBA"/>
    <w:pPr>
      <w:numPr>
        <w:numId w:val="1"/>
      </w:numPr>
      <w:spacing w:after="160" w:line="259" w:lineRule="auto"/>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07023\AppData\Local\cBrain\F2\.tmp\91693c2d181a4387bc51fb616276d55a.dotx" TargetMode="External"/></Relationships>
</file>

<file path=word/theme/theme1.xml><?xml version="1.0" encoding="utf-8"?>
<a:theme xmlns:a="http://schemas.openxmlformats.org/drawingml/2006/main" name="Kontortema">
  <a:themeElements>
    <a:clrScheme name="Brugerdefineret 1">
      <a:dk1>
        <a:srgbClr val="000000"/>
      </a:dk1>
      <a:lt1>
        <a:sysClr val="window" lastClr="FFFFFF"/>
      </a:lt1>
      <a:dk2>
        <a:srgbClr val="004B53"/>
      </a:dk2>
      <a:lt2>
        <a:srgbClr val="F3F3EF"/>
      </a:lt2>
      <a:accent1>
        <a:srgbClr val="0097A7"/>
      </a:accent1>
      <a:accent2>
        <a:srgbClr val="9EDADD"/>
      </a:accent2>
      <a:accent3>
        <a:srgbClr val="FDDD3A"/>
      </a:accent3>
      <a:accent4>
        <a:srgbClr val="0F7883"/>
      </a:accent4>
      <a:accent5>
        <a:srgbClr val="F47D2A"/>
      </a:accent5>
      <a:accent6>
        <a:srgbClr val="EC4B62"/>
      </a:accent6>
      <a:hlink>
        <a:srgbClr val="4BB3C4"/>
      </a:hlink>
      <a:folHlink>
        <a:srgbClr val="4BB3C4"/>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1372B9CB940948847A2E3063809E0E" ma:contentTypeVersion="18" ma:contentTypeDescription="Opret et nyt dokument." ma:contentTypeScope="" ma:versionID="c2acb99126575a4b5baae1011a30ec1c">
  <xsd:schema xmlns:xsd="http://www.w3.org/2001/XMLSchema" xmlns:xs="http://www.w3.org/2001/XMLSchema" xmlns:p="http://schemas.microsoft.com/office/2006/metadata/properties" xmlns:ns2="1e908950-8a9e-406e-b8ad-29df7835d279" xmlns:ns3="68b07798-c866-46c8-ac31-2d18694aaf5f" targetNamespace="http://schemas.microsoft.com/office/2006/metadata/properties" ma:root="true" ma:fieldsID="42eab1e40dc770fb7a1a1589369bcab9" ns2:_="" ns3:_="">
    <xsd:import namespace="1e908950-8a9e-406e-b8ad-29df7835d279"/>
    <xsd:import namespace="68b07798-c866-46c8-ac31-2d18694aaf5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08950-8a9e-406e-b8ad-29df7835d279"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b07798-c866-46c8-ac31-2d18694aaf5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e908950-8a9e-406e-b8ad-29df7835d279">NW225VSDDT2D-2062917464-37</_dlc_DocId>
    <_dlc_DocIdUrl xmlns="1e908950-8a9e-406e-b8ad-29df7835d279">
      <Url>https://spx.ens.dk/fdp/_layouts/15/DocIdRedir.aspx?ID=NW225VSDDT2D-2062917464-37</Url>
      <Description>NW225VSDDT2D-2062917464-37</Description>
    </_dlc_DocIdUrl>
    <_dlc_DocIdPersistId xmlns="1e908950-8a9e-406e-b8ad-29df7835d279" xsi:nil="true"/>
  </documentManagement>
</p:properties>
</file>

<file path=customXml/itemProps1.xml><?xml version="1.0" encoding="utf-8"?>
<ds:datastoreItem xmlns:ds="http://schemas.openxmlformats.org/officeDocument/2006/customXml" ds:itemID="{43D73C68-6057-46BB-B605-91C01732A489}">
  <ds:schemaRefs>
    <ds:schemaRef ds:uri="http://schemas.openxmlformats.org/officeDocument/2006/bibliography"/>
  </ds:schemaRefs>
</ds:datastoreItem>
</file>

<file path=customXml/itemProps2.xml><?xml version="1.0" encoding="utf-8"?>
<ds:datastoreItem xmlns:ds="http://schemas.openxmlformats.org/officeDocument/2006/customXml" ds:itemID="{E252E81A-1C1E-4919-8F5F-393262CA13C9}"/>
</file>

<file path=customXml/itemProps3.xml><?xml version="1.0" encoding="utf-8"?>
<ds:datastoreItem xmlns:ds="http://schemas.openxmlformats.org/officeDocument/2006/customXml" ds:itemID="{61EE2F97-182B-4B96-B99F-F3D2AC7DCF65}"/>
</file>

<file path=customXml/itemProps4.xml><?xml version="1.0" encoding="utf-8"?>
<ds:datastoreItem xmlns:ds="http://schemas.openxmlformats.org/officeDocument/2006/customXml" ds:itemID="{46468185-519E-4A5F-B502-6B638BD7E275}"/>
</file>

<file path=customXml/itemProps5.xml><?xml version="1.0" encoding="utf-8"?>
<ds:datastoreItem xmlns:ds="http://schemas.openxmlformats.org/officeDocument/2006/customXml" ds:itemID="{2E4085D2-DF68-4125-9324-9F54705770F2}"/>
</file>

<file path=docProps/app.xml><?xml version="1.0" encoding="utf-8"?>
<Properties xmlns="http://schemas.openxmlformats.org/officeDocument/2006/extended-properties" xmlns:vt="http://schemas.openxmlformats.org/officeDocument/2006/docPropsVTypes">
  <Template>91693c2d181a4387bc51fb616276d55a.dotx</Template>
  <TotalTime>1</TotalTime>
  <Pages>1</Pages>
  <Words>253</Words>
  <Characters>1648</Characters>
  <Application>Microsoft Office Word</Application>
  <DocSecurity>0</DocSecurity>
  <Lines>65</Lines>
  <Paragraphs>36</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Andreas Nepper-Christensen</dc:creator>
  <cp:lastModifiedBy>Nicklas Vandfeldt Hansen</cp:lastModifiedBy>
  <cp:revision>2</cp:revision>
  <cp:lastPrinted>2023-11-01T09:14:00Z</cp:lastPrinted>
  <dcterms:created xsi:type="dcterms:W3CDTF">2024-09-23T06:30:00Z</dcterms:created>
  <dcterms:modified xsi:type="dcterms:W3CDTF">2024-09-23T06:30:00Z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0x010100391372B9CB940948847A2E3063809E0E</vt:lpwstr>
  </property>
  <property fmtid="{D5CDD505-2E9C-101B-9397-08002B2CF9AE}" pid="4" name="_dlc_DocIdItemGuid">
    <vt:lpwstr>490834dd-3c94-4fa4-a775-743aeb213947</vt:lpwstr>
  </property>
</Properties>
</file>